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before="100" w:after="100" w:line="240" w:lineRule="auto"/>
        <w:outlineLvl w:val="1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it-IT"/>
        </w:rPr>
        <w:t>I pronomi personali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0"/>
        <w:gridCol w:w="2207"/>
        <w:gridCol w:w="2585"/>
        <w:gridCol w:w="272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1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я</w:t>
            </w:r>
          </w:p>
        </w:tc>
        <w:tc>
          <w:tcPr>
            <w:tcW w:type="dxa" w:w="22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io</w:t>
            </w:r>
          </w:p>
        </w:tc>
        <w:tc>
          <w:tcPr>
            <w:tcW w:type="dxa" w:w="25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мы</w:t>
            </w:r>
          </w:p>
        </w:tc>
        <w:tc>
          <w:tcPr>
            <w:tcW w:type="dxa" w:w="27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noi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1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ты</w:t>
            </w:r>
          </w:p>
        </w:tc>
        <w:tc>
          <w:tcPr>
            <w:tcW w:type="dxa" w:w="22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tu</w:t>
            </w:r>
          </w:p>
        </w:tc>
        <w:tc>
          <w:tcPr>
            <w:tcW w:type="dxa" w:w="25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вы</w:t>
            </w:r>
          </w:p>
        </w:tc>
        <w:tc>
          <w:tcPr>
            <w:tcW w:type="dxa" w:w="27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voi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21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он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br w:type="textWrapping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она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br w:type="textWrapping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оно</w:t>
            </w:r>
          </w:p>
        </w:tc>
        <w:tc>
          <w:tcPr>
            <w:tcW w:type="dxa" w:w="22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egli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ella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esso-a</w:t>
            </w:r>
          </w:p>
        </w:tc>
        <w:tc>
          <w:tcPr>
            <w:tcW w:type="dxa" w:w="25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они</w:t>
            </w:r>
          </w:p>
        </w:tc>
        <w:tc>
          <w:tcPr>
            <w:tcW w:type="dxa" w:w="27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essi-e</w:t>
            </w:r>
          </w:p>
        </w:tc>
      </w:tr>
    </w:tbl>
    <w:p>
      <w:pPr>
        <w:pStyle w:val="Normal.0"/>
        <w:widowControl w:val="0"/>
        <w:spacing w:before="100" w:after="100" w:line="240" w:lineRule="auto"/>
        <w:outlineLvl w:val="1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 pronomi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ОН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ОНА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(lui, lei) possono indicare esseri sia animati, che inanimati. Il pronome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ОНО </w:t>
      </w:r>
      <w:r>
        <w:rPr>
          <w:rFonts w:ascii="Times New Roman" w:hAnsi="Times New Roman"/>
          <w:sz w:val="24"/>
          <w:szCs w:val="24"/>
          <w:rtl w:val="0"/>
          <w:lang w:val="it-IT"/>
        </w:rPr>
        <w:t>(esso) indica sempre esseri inanimati.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51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9"/>
        <w:gridCol w:w="2018"/>
        <w:gridCol w:w="2219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КТО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?</w:t>
            </w:r>
          </w:p>
        </w:tc>
        <w:tc>
          <w:tcPr>
            <w:tcW w:type="dxa" w:w="22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ЧТО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?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ОН</w:t>
            </w:r>
          </w:p>
        </w:tc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Это турист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Он тут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.</w:t>
            </w:r>
          </w:p>
        </w:tc>
        <w:tc>
          <w:tcPr>
            <w:tcW w:type="dxa" w:w="22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Это паспорт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Он тут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ОНА</w:t>
            </w:r>
          </w:p>
        </w:tc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Это девушка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Она тут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.</w:t>
            </w:r>
          </w:p>
        </w:tc>
        <w:tc>
          <w:tcPr>
            <w:tcW w:type="dxa" w:w="22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Это виза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Она тут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ОНО</w:t>
            </w:r>
          </w:p>
        </w:tc>
        <w:tc>
          <w:tcPr>
            <w:tcW w:type="dxa" w:w="2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–</w:t>
            </w:r>
          </w:p>
        </w:tc>
        <w:tc>
          <w:tcPr>
            <w:tcW w:type="dxa" w:w="22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Это яблоко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Оно тут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.</w:t>
            </w:r>
          </w:p>
        </w:tc>
      </w:tr>
    </w:tbl>
    <w:p>
      <w:pPr>
        <w:pStyle w:val="Normal.0"/>
        <w:widowControl w:val="0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l pronome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ВЫ </w:t>
      </w:r>
      <w:r>
        <w:rPr>
          <w:rFonts w:ascii="Times New Roman" w:hAnsi="Times New Roman"/>
          <w:sz w:val="24"/>
          <w:szCs w:val="24"/>
          <w:rtl w:val="0"/>
          <w:lang w:val="it-IT"/>
        </w:rPr>
        <w:t>pu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>essere utilizzato non solo come forma plurale. Questo pronome infatti vale anche come forma di cortesia quando ci rivolgiamo ad una persona sconosciuta o pi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it-IT"/>
        </w:rPr>
        <w:t>anziana di noi.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